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BookAntiqua-bold.ttf" ContentType="application/x-font-ttf"/>
  <Override PartName="/word/fonts/BookAntiqua-italic.ttf" ContentType="application/x-font-ttf"/>
  <Override PartName="/word/fonts/BookAntiqua-regular.ttf" ContentType="application/x-font-ttf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>
      <w:pPr>
        <w:framePr w:w="4000" w:h="160" w:hRule="exact" w:hAnchor="page" w:vAnchor="page" w:wrap="around" w:x="11560" w:y="11820"/>
        <w:spacing w:before="0" w:after="0"/>
        <w:jc w:val="right"/>
      </w:pPr>
      <w:r>
        <w:rPr>
          <w:rFonts w:ascii="Arial" w:hAnsi="Arial"/>
          <w:color w:val="999999"/>
          <w:sz w:val="12"/>
        </w:rPr>
        <w:t>USJC-000010</w:t>
      </w:r>
    </w:p>
    <w:tbl>
      <w:tblPr>
        <w:tblW w:type="auto" w:w="0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6502"/>
        <w:gridCol w:w="6502"/>
      </w:tblGrid>
      <w:tr>
        <w:trPr>
          <w:trHeight w:val="248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drawing>
                <wp:inline>
                  <wp:extent cx="5486400" cy="1320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usjc.png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1320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8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 w:lineRule="exact" w:line="216"/>
              <w:jc w:val="center"/>
            </w:pPr>
            <w:r>
              <w:rPr>
                <w:rFonts w:ascii="Book Antiqua" w:hAnsi="Book Antiqua" w:cs="Book Antiqua" w:eastAsia="Book Antiqua"/>
                <w:b w:val="0"/>
                <w:i/>
                <w:sz w:val="18"/>
              </w:rPr>
              <w:t>En virtud de la potestad otorgada por la Ley Núm. 6693 del 27 de noviembre de 1981;</w:t>
            </w:r>
          </w:p>
          <w:p>
            <w:pPr>
              <w:spacing w:before="0" w:after="0" w:lineRule="exact" w:line="216"/>
              <w:jc w:val="center"/>
            </w:pPr>
            <w:r>
              <w:rPr>
                <w:rFonts w:ascii="Book Antiqua" w:hAnsi="Book Antiqua" w:cs="Book Antiqua" w:eastAsia="Book Antiqua"/>
                <w:b w:val="0"/>
                <w:i/>
                <w:sz w:val="18"/>
              </w:rPr>
              <w:t>y por haber cumplido con los requisitos académicos y legales establecidos,</w:t>
            </w:r>
          </w:p>
          <w:p>
            <w:pPr>
              <w:spacing w:before="0" w:after="0" w:lineRule="exact" w:line="216"/>
              <w:jc w:val="center"/>
            </w:pPr>
            <w:r>
              <w:rPr>
                <w:rFonts w:ascii="Book Antiqua" w:hAnsi="Book Antiqua" w:cs="Book Antiqua" w:eastAsia="Book Antiqua"/>
                <w:b w:val="0"/>
                <w:i/>
                <w:sz w:val="18"/>
              </w:rPr>
              <w:t>se confiere a:</w:t>
            </w:r>
          </w:p>
        </w:tc>
      </w:tr>
      <w:tr>
        <w:trPr>
          <w:trHeight w:val="920" w:hRule="exact"/>
        </w:trPr>
        <w:tc>
          <w:tcPr>
            <w:tcW w:type="dxa" w:w="13004"/>
            <w:gridSpan w:val="2"/>
            <w:vAlign w:val="bottom"/>
          </w:tcPr>
          <w:p>
            <w:pPr>
              <w:spacing w:before="0" w:after="0" w:lineRule="exact" w:line="624"/>
              <w:jc w:val="center"/>
            </w:pPr>
            <w:r>
              <w:rPr>
                <w:rFonts w:ascii="Book Antiqua" w:hAnsi="Book Antiqua" w:cs="Book Antiqua" w:eastAsia="Book Antiqua"/>
                <w:b/>
                <w:i w:val="0"/>
                <w:sz w:val="52"/>
              </w:rPr>
              <w:t>Acuña Sánchez Jessica Daniela</w:t>
            </w:r>
          </w:p>
        </w:tc>
      </w:tr>
      <w:tr>
        <w:trPr>
          <w:trHeight w:val="40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/>
                <w:sz w:val="24"/>
              </w:rPr>
              <w:t>Cédula: 402010963</w:t>
            </w:r>
          </w:p>
        </w:tc>
      </w:tr>
      <w:tr>
        <w:trPr>
          <w:trHeight w:val="600" w:hRule="exact"/>
        </w:trPr>
        <w:tc>
          <w:tcPr>
            <w:tcW w:type="dxa" w:w="13004"/>
            <w:gridSpan w:val="2"/>
            <w:vAlign w:val="bottom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/>
                <w:sz w:val="24"/>
              </w:rPr>
              <w:t>El grado académico de</w:t>
            </w:r>
          </w:p>
        </w:tc>
      </w:tr>
      <w:tr>
        <w:trPr>
          <w:trHeight w:val="128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 w:lineRule="exact" w:line="624"/>
              <w:jc w:val="center"/>
            </w:pPr>
            <w:r>
              <w:rPr>
                <w:rFonts w:ascii="Book Antiqua" w:hAnsi="Book Antiqua" w:cs="Book Antiqua" w:eastAsia="Book Antiqua"/>
                <w:b/>
                <w:i w:val="0"/>
                <w:sz w:val="52"/>
              </w:rPr>
              <w:t>Licenciatura en Administración de Empresas</w:t>
            </w:r>
          </w:p>
          <w:p>
            <w:pPr>
              <w:spacing w:before="0" w:after="0" w:lineRule="exact" w:line="624"/>
              <w:jc w:val="center"/>
            </w:pPr>
            <w:r>
              <w:rPr>
                <w:rFonts w:ascii="Book Antiqua" w:hAnsi="Book Antiqua" w:cs="Book Antiqua" w:eastAsia="Book Antiqua"/>
                <w:b/>
                <w:i w:val="0"/>
                <w:sz w:val="52"/>
              </w:rPr>
              <w:t>con énfasis en Recursos Humanos</w:t>
            </w:r>
          </w:p>
        </w:tc>
      </w:tr>
      <w:tr>
        <w:trPr>
          <w:trHeight w:val="80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 w:val="0"/>
                <w:sz w:val="24"/>
              </w:rPr>
              <w:t>Con todos los derechos y deberes inherentes a tal grado,</w:t>
            </w:r>
          </w:p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 w:val="0"/>
                <w:sz w:val="24"/>
              </w:rPr>
              <w:t>en fe de lo cual el Rector de la Universidad suscribe el presente título profesional.</w:t>
            </w:r>
          </w:p>
        </w:tc>
      </w:tr>
      <w:tr>
        <w:trPr>
          <w:trHeight w:val="72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 w:val="0"/>
                <w:sz w:val="24"/>
              </w:rPr>
              <w:t>Dado en Heredia, República de Costa Rica, el día 12 de diciembre de 2026</w:t>
            </w:r>
          </w:p>
        </w:tc>
      </w:tr>
      <w:tr>
        <w:trPr>
          <w:trHeight w:val="1600" w:hRule="exact"/>
        </w:trPr>
        <w:tc>
          <w:tcPr>
            <w:tcW w:type="dxa" w:w="6502"/>
            <w:vAlign w:val="bottom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 w:val="0"/>
                <w:sz w:val="24"/>
              </w:rPr>
              <w:t>Rector   M.Sc. Eddy Cuevas Marín</w:t>
            </w:r>
          </w:p>
        </w:tc>
        <w:tc>
          <w:tcPr>
            <w:tcW w:type="dxa" w:w="6502"/>
            <w:vAlign w:val="bottom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 w:val="0"/>
                <w:sz w:val="24"/>
              </w:rPr>
              <w:t>Dirección Ejecutiva CONESUP</w:t>
            </w:r>
          </w:p>
        </w:tc>
      </w:tr>
      <w:tr>
        <w:trPr>
          <w:trHeight w:val="280" w:hRule="exact"/>
        </w:trPr>
        <w:tc>
          <w:tcPr>
            <w:tcW w:type="dxa" w:w="6502"/>
            <w:vAlign w:val="top"/>
          </w:tcPr>
          <w:p>
            <w:pPr>
              <w:spacing w:before="0" w:after="0" w:lineRule="exact" w:line="192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sz w:val="16"/>
              </w:rPr>
            </w:r>
          </w:p>
        </w:tc>
        <w:tc>
          <w:tcPr>
            <w:tcW w:type="dxa" w:w="6502"/>
            <w:vAlign w:val="top"/>
          </w:tcPr>
          <w:p>
            <w:pPr>
              <w:spacing w:before="0" w:after="0" w:lineRule="exact" w:line="192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sz w:val="16"/>
              </w:rPr>
            </w:r>
          </w:p>
        </w:tc>
      </w:tr>
      <w:tr>
        <w:trPr>
          <w:trHeight w:val="800" w:hRule="exact"/>
        </w:trPr>
        <w:tc>
          <w:tcPr>
            <w:tcW w:type="dxa" w:w="13004"/>
            <w:gridSpan w:val="2"/>
            <w:vAlign w:val="bottom"/>
          </w:tcPr>
          <w:p>
            <w:pPr>
              <w:spacing w:before="0" w:after="0" w:lineRule="exact" w:line="240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sz w:val="20"/>
              </w:rPr>
              <w:t>Registrado en la Universidad al   tomo   13      folio 40     asiento 160</w:t>
            </w:r>
          </w:p>
          <w:p>
            <w:pPr>
              <w:spacing w:before="0" w:after="0" w:lineRule="exact" w:line="240"/>
              <w:jc w:val="center"/>
            </w:pPr>
            <w:r>
              <w:rPr>
                <w:rFonts w:ascii="Times New Roman" w:hAnsi="Times New Roman" w:cs="Times New Roman" w:eastAsia="Times New Roman"/>
                <w:b/>
                <w:i w:val="0"/>
                <w:sz w:val="20"/>
              </w:rPr>
              <w:t>Registrado en el CONESUP código de la Universidad     26    asiento</w:t>
            </w:r>
          </w:p>
        </w:tc>
      </w:tr>
    </w:tbl>
    <w:p>
      <w:pPr>
        <w:spacing w:before="0" w:after="0" w:lineRule="exact" w:line="20"/>
        <w:jc w:val="center"/>
      </w:pPr>
      <w:r>
        <w:rPr>
          <w:sz w:val="2"/>
        </w:rPr>
      </w:r>
    </w:p>
    <w:sectPr>
      <w:pgSz w:h="12240" w:w="15840" w:orient="landscape"/>
      <w:pgMar w:bottom="567" w:top="567" w:left="1418" w:right="1418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Book Antiqua">
    <w:embedRegular w:fontKey="{00000000-0000-0000-0000-000000000000}" r:id="rId6" w:subsetted="0"/>
    <w:embedBold w:fontKey="{00000000-0000-0000-0000-000000000000}" r:id="rId7" w:subsetted="0"/>
    <w:embedItalic w:fontKey="{00000000-0000-0000-0000-000000000000}" r:id="rId8" w:subsetted="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Lily Script One" w:cs="Lily Script One" w:eastAsia="Lily Script One" w:hAnsi="Lily Script One"/>
      <w:b w:val="1"/>
      <w:bCs w:val="1"/>
      <w:i w:val="1"/>
      <w:i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jc w:val="center"/>
    </w:pPr>
    <w:rPr>
      <w:rFonts w:ascii="Lily Script One" w:cs="Lily Script One" w:eastAsia="Lily Script One" w:hAnsi="Lily Script One"/>
      <w:b w:val="1"/>
      <w:bCs w:val="1"/>
      <w:i w:val="1"/>
      <w:iCs w:val="1"/>
      <w:sz w:val="32"/>
      <w:szCs w:val="32"/>
    </w:rPr>
  </w:style>
  <w:style w:type="paragraph" w:styleId="Heading3">
    <w:name w:val="heading 3"/>
    <w:basedOn w:val="Normal"/>
    <w:next w:val="Normal"/>
    <w:pPr>
      <w:keepNext w:val="1"/>
      <w:jc w:val="center"/>
    </w:pPr>
    <w:rPr>
      <w:rFonts w:ascii="Meddon" w:cs="Meddon" w:eastAsia="Meddon" w:hAnsi="Meddon"/>
      <w:b w:val="1"/>
      <w:bCs w:val="1"/>
      <w:sz w:val="22"/>
      <w:szCs w:val="22"/>
    </w:rPr>
  </w:style>
  <w:style w:type="paragraph" w:styleId="Heading4">
    <w:name w:val="heading 4"/>
    <w:basedOn w:val="Normal"/>
    <w:next w:val="Normal"/>
    <w:pPr>
      <w:keepNext w:val="1"/>
      <w:jc w:val="center"/>
    </w:pPr>
    <w:rPr>
      <w:rFonts w:ascii="Lily Script One" w:cs="Lily Script One" w:eastAsia="Lily Script One" w:hAnsi="Lily Script One"/>
      <w:b w:val="1"/>
      <w:bCs w:val="1"/>
      <w:i w:val="1"/>
      <w:iCs w:val="1"/>
      <w:sz w:val="28"/>
      <w:szCs w:val="28"/>
    </w:rPr>
  </w:style>
  <w:style w:type="paragraph" w:styleId="Heading5">
    <w:name w:val="heading 5"/>
    <w:basedOn w:val="Normal"/>
    <w:next w:val="Normal"/>
    <w:pPr>
      <w:keepNext w:val="1"/>
      <w:jc w:val="center"/>
    </w:pPr>
    <w:rPr>
      <w:rFonts w:ascii="Meddon" w:cs="Meddon" w:eastAsia="Meddon" w:hAnsi="Meddon"/>
      <w:b w:val="1"/>
      <w:bCs w:val="1"/>
      <w:sz w:val="20"/>
      <w:szCs w:val="20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rFonts w:ascii="Lily Script One" w:cs="Lily Script One" w:eastAsia="Lily Script One" w:hAnsi="Lily Script One"/>
      <w:b w:val="1"/>
      <w:bCs w:val="1"/>
      <w:i w:val="1"/>
      <w:iCs w:val="1"/>
      <w:sz w:val="44"/>
      <w:szCs w:val="44"/>
    </w:rPr>
  </w:style>
  <w:style w:type="paragraph" w:styleId="Subtitle">
    <w:name w:val="Subtitle"/>
    <w:basedOn w:val="Normal"/>
    <w:next w:val="Normal"/>
    <w:pPr>
      <w:jc w:val="center"/>
    </w:pPr>
    <w:rPr>
      <w:rFonts w:ascii="Lily Script One" w:cs="Lily Script One" w:eastAsia="Lily Script One" w:hAnsi="Lily Script One"/>
      <w:b w:val="1"/>
      <w:bCs w:val="1"/>
      <w:i w:val="1"/>
      <w:iCs w:val="1"/>
      <w:sz w:val="18"/>
      <w:szCs w:val="18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5" Type="http://schemas.openxmlformats.org/officeDocument/2006/relationships/styles" Target="styles.xml"/><Relationship Id="rId4" Type="http://schemas.openxmlformats.org/officeDocument/2006/relationships/image" Target="media/image1.png"/></Relationships>
</file>

<file path=word/_rels/fontTable.xml.rels><?xml version='1.0' encoding='UTF-8' standalone='yes'?>
<Relationships xmlns="http://schemas.openxmlformats.org/package/2006/relationships"><Relationship Id="rId6" Type="http://schemas.openxmlformats.org/officeDocument/2006/relationships/font" Target="fonts/BookAntiqua-regular.ttf"/><Relationship Id="rId7" Type="http://schemas.openxmlformats.org/officeDocument/2006/relationships/font" Target="fonts/BookAntiqua-bold.ttf"/><Relationship Id="rId8" Type="http://schemas.openxmlformats.org/officeDocument/2006/relationships/font" Target="fonts/BookAntiqua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Títulos</dc:title>
  <cp:lastModifiedBy>python-docx</cp:lastModifiedBy>
  <cp:revision>1</cp:revision>
  <dcterms:modified xsi:type="dcterms:W3CDTF">2026-10-07T02:14:01Z</dcterms:modified>
</cp:coreProperties>
</file>